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A63A01" w:rsidRPr="00A63A01">
        <w:t>38.03.02 – Менеджмент, профиль: Менеджмент и управление бизнесом.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>Место дисциплины «Информационные технологии в профессиональной деятельности»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</w:t>
      </w:r>
      <w:bookmarkStart w:id="1" w:name="_GoBack"/>
      <w:bookmarkEnd w:id="1"/>
      <w:r w:rsidRPr="00B75A22">
        <w:t>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F5F31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DFA54-D4B3-4303-B947-62D8B8CF4006}"/>
</file>

<file path=customXml/itemProps2.xml><?xml version="1.0" encoding="utf-8"?>
<ds:datastoreItem xmlns:ds="http://schemas.openxmlformats.org/officeDocument/2006/customXml" ds:itemID="{30E43E9D-41A5-4630-B2C8-39D9B9110734}"/>
</file>

<file path=customXml/itemProps3.xml><?xml version="1.0" encoding="utf-8"?>
<ds:datastoreItem xmlns:ds="http://schemas.openxmlformats.org/officeDocument/2006/customXml" ds:itemID="{EDA3916A-DC67-4852-8917-8793E58A0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8</cp:revision>
  <dcterms:created xsi:type="dcterms:W3CDTF">2018-03-30T13:09:00Z</dcterms:created>
  <dcterms:modified xsi:type="dcterms:W3CDTF">2021-06-03T07:00:00Z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